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5441" w14:textId="77777777" w:rsidR="00BA4EC4" w:rsidRPr="00BA4EC4" w:rsidRDefault="00BA4EC4" w:rsidP="00BA4EC4">
      <w:pPr>
        <w:jc w:val="center"/>
        <w:rPr>
          <w:rFonts w:ascii="Times New Roman" w:hAnsi="Times New Roman"/>
          <w:b/>
          <w:bCs/>
          <w:sz w:val="28"/>
          <w:szCs w:val="28"/>
        </w:rPr>
      </w:pPr>
      <w:r w:rsidRPr="00BA4EC4">
        <w:rPr>
          <w:rFonts w:ascii="Times New Roman" w:hAnsi="Times New Roman"/>
          <w:b/>
          <w:bCs/>
          <w:sz w:val="28"/>
          <w:szCs w:val="28"/>
        </w:rPr>
        <w:t>Regulations for Graduate Studies of the Master’s Program</w:t>
      </w:r>
    </w:p>
    <w:p w14:paraId="7CE30DA9" w14:textId="77777777" w:rsidR="00BA4EC4" w:rsidRPr="00BA4EC4" w:rsidRDefault="00BA4EC4" w:rsidP="00BA4EC4">
      <w:pPr>
        <w:jc w:val="center"/>
        <w:rPr>
          <w:rFonts w:ascii="Times New Roman" w:hAnsi="Times New Roman"/>
          <w:b/>
          <w:bCs/>
        </w:rPr>
      </w:pPr>
      <w:r w:rsidRPr="00BA4EC4">
        <w:rPr>
          <w:rFonts w:ascii="Times New Roman" w:hAnsi="Times New Roman"/>
          <w:b/>
          <w:bCs/>
        </w:rPr>
        <w:t>Institute of Linguistics, National Chung Cheng University</w:t>
      </w:r>
    </w:p>
    <w:p w14:paraId="25AB4A73" w14:textId="77777777" w:rsidR="00BA4EC4" w:rsidRDefault="00BA4EC4" w:rsidP="00BA4EC4">
      <w:pPr>
        <w:jc w:val="both"/>
        <w:rPr>
          <w:rFonts w:ascii="Times New Roman" w:hAnsi="Times New Roman"/>
          <w:b/>
          <w:bCs/>
        </w:rPr>
      </w:pPr>
    </w:p>
    <w:p w14:paraId="2D901A9C" w14:textId="0EC48EE9" w:rsidR="00BA4EC4" w:rsidRPr="00BA4EC4" w:rsidRDefault="00BA4EC4" w:rsidP="00BA4EC4">
      <w:pPr>
        <w:jc w:val="both"/>
        <w:rPr>
          <w:rFonts w:ascii="Times New Roman" w:hAnsi="Times New Roman"/>
          <w:b/>
          <w:bCs/>
        </w:rPr>
      </w:pPr>
      <w:r w:rsidRPr="00BA4EC4">
        <w:rPr>
          <w:rFonts w:ascii="Times New Roman" w:hAnsi="Times New Roman"/>
          <w:b/>
          <w:bCs/>
        </w:rPr>
        <w:t>Chapter I</w:t>
      </w:r>
      <w:r w:rsidRPr="00BA4EC4">
        <w:rPr>
          <w:rFonts w:ascii="Times New Roman" w:hAnsi="Times New Roman" w:hint="eastAsia"/>
          <w:b/>
          <w:bCs/>
        </w:rPr>
        <w:t xml:space="preserve"> </w:t>
      </w:r>
      <w:r w:rsidRPr="00BA4EC4">
        <w:rPr>
          <w:rFonts w:ascii="Times New Roman" w:hAnsi="Times New Roman"/>
          <w:b/>
          <w:bCs/>
        </w:rPr>
        <w:t>Period of Study and Course Selection</w:t>
      </w:r>
    </w:p>
    <w:p w14:paraId="5799DBE1" w14:textId="77777777" w:rsidR="00BA4EC4" w:rsidRDefault="00BA4EC4" w:rsidP="00BA4EC4">
      <w:pPr>
        <w:jc w:val="both"/>
        <w:rPr>
          <w:rFonts w:ascii="Times New Roman" w:hAnsi="Times New Roman"/>
        </w:rPr>
      </w:pPr>
      <w:r w:rsidRPr="00BA4EC4">
        <w:rPr>
          <w:rFonts w:ascii="Times New Roman" w:hAnsi="Times New Roman"/>
        </w:rPr>
        <w:t xml:space="preserve">Article 1 </w:t>
      </w:r>
    </w:p>
    <w:p w14:paraId="0C59A339" w14:textId="68EFEE67" w:rsidR="00BA4EC4" w:rsidRPr="00BA4EC4" w:rsidRDefault="00BA4EC4" w:rsidP="00BA4EC4">
      <w:pPr>
        <w:jc w:val="both"/>
        <w:rPr>
          <w:rFonts w:ascii="Times New Roman" w:hAnsi="Times New Roman"/>
        </w:rPr>
      </w:pPr>
      <w:r w:rsidRPr="00BA4EC4">
        <w:rPr>
          <w:rFonts w:ascii="Times New Roman" w:hAnsi="Times New Roman"/>
        </w:rPr>
        <w:t>These regulations govern the admission, period of study, and examination requirements for graduate students in the Master’s program of the Institute of Linguistics at National Chung Cheng University. Matters not addressed herein shall be governed by the University’s General Academic Regulations.</w:t>
      </w:r>
    </w:p>
    <w:p w14:paraId="290F73EE" w14:textId="77777777" w:rsidR="00BA4EC4" w:rsidRDefault="00BA4EC4" w:rsidP="00BA4EC4">
      <w:pPr>
        <w:jc w:val="both"/>
        <w:rPr>
          <w:rFonts w:ascii="Times New Roman" w:hAnsi="Times New Roman"/>
        </w:rPr>
      </w:pPr>
      <w:r w:rsidRPr="00BA4EC4">
        <w:rPr>
          <w:rFonts w:ascii="Times New Roman" w:hAnsi="Times New Roman"/>
        </w:rPr>
        <w:t xml:space="preserve">Article 2 </w:t>
      </w:r>
    </w:p>
    <w:p w14:paraId="65D77F4C" w14:textId="4495273F" w:rsidR="00BA4EC4" w:rsidRPr="00BA4EC4" w:rsidRDefault="00BA4EC4" w:rsidP="00BA4EC4">
      <w:pPr>
        <w:jc w:val="both"/>
        <w:rPr>
          <w:rFonts w:ascii="Times New Roman" w:hAnsi="Times New Roman"/>
        </w:rPr>
      </w:pPr>
      <w:r w:rsidRPr="00BA4EC4">
        <w:rPr>
          <w:rFonts w:ascii="Times New Roman" w:hAnsi="Times New Roman"/>
        </w:rPr>
        <w:t>The period of study for the Master’s program ranges from a minimum of two years to a maximum of four years. For students with full-time employment (in-service students), the maximum period is five years.</w:t>
      </w:r>
    </w:p>
    <w:p w14:paraId="1E0E608A" w14:textId="77777777" w:rsidR="00BA4EC4" w:rsidRDefault="00BA4EC4" w:rsidP="00BA4EC4">
      <w:pPr>
        <w:jc w:val="both"/>
        <w:rPr>
          <w:rFonts w:ascii="Times New Roman" w:hAnsi="Times New Roman"/>
        </w:rPr>
      </w:pPr>
      <w:r w:rsidRPr="00BA4EC4">
        <w:rPr>
          <w:rFonts w:ascii="Times New Roman" w:hAnsi="Times New Roman"/>
        </w:rPr>
        <w:t xml:space="preserve">Article 3 </w:t>
      </w:r>
    </w:p>
    <w:p w14:paraId="173B6C4A" w14:textId="50DF3558" w:rsidR="00BA4EC4" w:rsidRPr="00BA4EC4" w:rsidRDefault="00BA4EC4" w:rsidP="00BA4EC4">
      <w:pPr>
        <w:jc w:val="both"/>
        <w:rPr>
          <w:rFonts w:ascii="Times New Roman" w:hAnsi="Times New Roman"/>
        </w:rPr>
      </w:pPr>
      <w:r w:rsidRPr="00BA4EC4">
        <w:rPr>
          <w:rFonts w:ascii="Times New Roman" w:hAnsi="Times New Roman"/>
        </w:rPr>
        <w:t>Students must complete a minimum of 30 credits within the designated study period. The credit requirements are categorized as follows:</w:t>
      </w:r>
    </w:p>
    <w:p w14:paraId="5DB61904" w14:textId="77777777" w:rsidR="00BA4EC4" w:rsidRPr="00BA4EC4" w:rsidRDefault="00BA4EC4" w:rsidP="00BA4EC4">
      <w:pPr>
        <w:jc w:val="both"/>
        <w:rPr>
          <w:rFonts w:ascii="Times New Roman" w:hAnsi="Times New Roman"/>
        </w:rPr>
      </w:pPr>
      <w:r w:rsidRPr="00BA4EC4">
        <w:rPr>
          <w:rFonts w:ascii="Times New Roman" w:hAnsi="Times New Roman"/>
        </w:rPr>
        <w:t>I. Compulsory Courses:</w:t>
      </w:r>
    </w:p>
    <w:p w14:paraId="2DEA88E5" w14:textId="77777777" w:rsidR="00BA4EC4" w:rsidRPr="00BA4EC4" w:rsidRDefault="00BA4EC4" w:rsidP="00BA4EC4">
      <w:pPr>
        <w:numPr>
          <w:ilvl w:val="0"/>
          <w:numId w:val="1"/>
        </w:numPr>
        <w:jc w:val="both"/>
        <w:rPr>
          <w:rFonts w:ascii="Times New Roman" w:hAnsi="Times New Roman"/>
        </w:rPr>
      </w:pPr>
      <w:r w:rsidRPr="00BA4EC4">
        <w:rPr>
          <w:rFonts w:ascii="Times New Roman" w:hAnsi="Times New Roman"/>
        </w:rPr>
        <w:t>General Linguistics Track (6 credits):</w:t>
      </w:r>
    </w:p>
    <w:p w14:paraId="199275E3" w14:textId="77777777" w:rsidR="00BA4EC4" w:rsidRPr="00BA4EC4" w:rsidRDefault="00BA4EC4" w:rsidP="00BA4EC4">
      <w:pPr>
        <w:numPr>
          <w:ilvl w:val="1"/>
          <w:numId w:val="1"/>
        </w:numPr>
        <w:jc w:val="both"/>
        <w:rPr>
          <w:rFonts w:ascii="Times New Roman" w:hAnsi="Times New Roman"/>
        </w:rPr>
      </w:pPr>
      <w:r w:rsidRPr="00BA4EC4">
        <w:rPr>
          <w:rFonts w:ascii="Times New Roman" w:hAnsi="Times New Roman"/>
        </w:rPr>
        <w:t>Phonology (3 credits)</w:t>
      </w:r>
    </w:p>
    <w:p w14:paraId="22C13DE3" w14:textId="77777777" w:rsidR="00BA4EC4" w:rsidRPr="00BA4EC4" w:rsidRDefault="00BA4EC4" w:rsidP="00BA4EC4">
      <w:pPr>
        <w:numPr>
          <w:ilvl w:val="1"/>
          <w:numId w:val="1"/>
        </w:numPr>
        <w:jc w:val="both"/>
        <w:rPr>
          <w:rFonts w:ascii="Times New Roman" w:hAnsi="Times New Roman"/>
        </w:rPr>
      </w:pPr>
      <w:r w:rsidRPr="00BA4EC4">
        <w:rPr>
          <w:rFonts w:ascii="Times New Roman" w:hAnsi="Times New Roman"/>
        </w:rPr>
        <w:t>Syntax (3 credits)</w:t>
      </w:r>
    </w:p>
    <w:p w14:paraId="6A6FFEAF" w14:textId="77777777" w:rsidR="00BA4EC4" w:rsidRPr="00BA4EC4" w:rsidRDefault="00BA4EC4" w:rsidP="00BA4EC4">
      <w:pPr>
        <w:numPr>
          <w:ilvl w:val="0"/>
          <w:numId w:val="1"/>
        </w:numPr>
        <w:jc w:val="both"/>
        <w:rPr>
          <w:rFonts w:ascii="Times New Roman" w:hAnsi="Times New Roman"/>
        </w:rPr>
      </w:pPr>
      <w:r w:rsidRPr="00BA4EC4">
        <w:rPr>
          <w:rFonts w:ascii="Times New Roman" w:hAnsi="Times New Roman"/>
        </w:rPr>
        <w:t>Sign Linguistics Track (3 credits):</w:t>
      </w:r>
    </w:p>
    <w:p w14:paraId="658A7BE1" w14:textId="77777777" w:rsidR="00BA4EC4" w:rsidRPr="00BA4EC4" w:rsidRDefault="00BA4EC4" w:rsidP="00BA4EC4">
      <w:pPr>
        <w:numPr>
          <w:ilvl w:val="1"/>
          <w:numId w:val="2"/>
        </w:numPr>
        <w:jc w:val="both"/>
        <w:rPr>
          <w:rFonts w:ascii="Times New Roman" w:hAnsi="Times New Roman"/>
        </w:rPr>
      </w:pPr>
      <w:r w:rsidRPr="00BA4EC4">
        <w:rPr>
          <w:rFonts w:ascii="Times New Roman" w:hAnsi="Times New Roman"/>
        </w:rPr>
        <w:t>Sign Linguistics (3 credits)</w:t>
      </w:r>
    </w:p>
    <w:p w14:paraId="0CBF4DB1" w14:textId="77777777" w:rsidR="00BA4EC4" w:rsidRPr="00BA4EC4" w:rsidRDefault="00BA4EC4" w:rsidP="00BA4EC4">
      <w:pPr>
        <w:numPr>
          <w:ilvl w:val="0"/>
          <w:numId w:val="1"/>
        </w:numPr>
        <w:jc w:val="both"/>
        <w:rPr>
          <w:rFonts w:ascii="Times New Roman" w:hAnsi="Times New Roman"/>
        </w:rPr>
      </w:pPr>
      <w:r w:rsidRPr="00BA4EC4">
        <w:rPr>
          <w:rFonts w:ascii="Times New Roman" w:hAnsi="Times New Roman"/>
        </w:rPr>
        <w:t>Teaching Chinese as a Second Language (TCSL) Track (3 credits):</w:t>
      </w:r>
    </w:p>
    <w:p w14:paraId="221448CF" w14:textId="77777777" w:rsidR="00BA4EC4" w:rsidRPr="00BA4EC4" w:rsidRDefault="00BA4EC4" w:rsidP="00BA4EC4">
      <w:pPr>
        <w:numPr>
          <w:ilvl w:val="1"/>
          <w:numId w:val="3"/>
        </w:numPr>
        <w:jc w:val="both"/>
        <w:rPr>
          <w:rFonts w:ascii="Times New Roman" w:hAnsi="Times New Roman"/>
        </w:rPr>
      </w:pPr>
      <w:r w:rsidRPr="00BA4EC4">
        <w:rPr>
          <w:rFonts w:ascii="Times New Roman" w:hAnsi="Times New Roman"/>
        </w:rPr>
        <w:t>Chinese Structure (3 credits)</w:t>
      </w:r>
    </w:p>
    <w:p w14:paraId="7F39E7F1" w14:textId="77777777" w:rsidR="00BA4EC4" w:rsidRPr="00BA4EC4" w:rsidRDefault="00BA4EC4" w:rsidP="00BA4EC4">
      <w:pPr>
        <w:jc w:val="both"/>
        <w:rPr>
          <w:rFonts w:ascii="Times New Roman" w:hAnsi="Times New Roman"/>
        </w:rPr>
      </w:pPr>
      <w:r w:rsidRPr="00BA4EC4">
        <w:rPr>
          <w:rFonts w:ascii="Times New Roman" w:hAnsi="Times New Roman"/>
        </w:rPr>
        <w:t>II. Elective Courses:</w:t>
      </w:r>
    </w:p>
    <w:p w14:paraId="6B83F1F9" w14:textId="77777777" w:rsidR="00BA4EC4" w:rsidRPr="00BA4EC4" w:rsidRDefault="00BA4EC4" w:rsidP="00BA4EC4">
      <w:pPr>
        <w:numPr>
          <w:ilvl w:val="0"/>
          <w:numId w:val="4"/>
        </w:numPr>
        <w:jc w:val="both"/>
        <w:rPr>
          <w:rFonts w:ascii="Times New Roman" w:hAnsi="Times New Roman"/>
        </w:rPr>
      </w:pPr>
      <w:r w:rsidRPr="00BA4EC4">
        <w:rPr>
          <w:rFonts w:ascii="Times New Roman" w:hAnsi="Times New Roman"/>
        </w:rPr>
        <w:t xml:space="preserve">General Linguistics Track (24 credits): Students must select one major field </w:t>
      </w:r>
      <w:r w:rsidRPr="00BA4EC4">
        <w:rPr>
          <w:rFonts w:ascii="Times New Roman" w:hAnsi="Times New Roman"/>
        </w:rPr>
        <w:lastRenderedPageBreak/>
        <w:t>from the seven areas listed below and complete at least 9 credits within that field.</w:t>
      </w:r>
    </w:p>
    <w:p w14:paraId="3FE6CD2D" w14:textId="77777777" w:rsidR="00BA4EC4" w:rsidRPr="00BA4EC4" w:rsidRDefault="00BA4EC4" w:rsidP="00BA4EC4">
      <w:pPr>
        <w:numPr>
          <w:ilvl w:val="0"/>
          <w:numId w:val="4"/>
        </w:numPr>
        <w:jc w:val="both"/>
        <w:rPr>
          <w:rFonts w:ascii="Times New Roman" w:hAnsi="Times New Roman"/>
        </w:rPr>
      </w:pPr>
      <w:r w:rsidRPr="00BA4EC4">
        <w:rPr>
          <w:rFonts w:ascii="Times New Roman" w:hAnsi="Times New Roman"/>
        </w:rPr>
        <w:t>Sign Linguistics Track (27 credits): Students must select Sign Linguistics as their major field and complete at least 9 credits in this area.</w:t>
      </w:r>
    </w:p>
    <w:p w14:paraId="145A0A99" w14:textId="77777777" w:rsidR="00BA4EC4" w:rsidRPr="00BA4EC4" w:rsidRDefault="00BA4EC4" w:rsidP="00BA4EC4">
      <w:pPr>
        <w:numPr>
          <w:ilvl w:val="0"/>
          <w:numId w:val="4"/>
        </w:numPr>
        <w:jc w:val="both"/>
        <w:rPr>
          <w:rFonts w:ascii="Times New Roman" w:hAnsi="Times New Roman"/>
        </w:rPr>
      </w:pPr>
      <w:r w:rsidRPr="00BA4EC4">
        <w:rPr>
          <w:rFonts w:ascii="Times New Roman" w:hAnsi="Times New Roman"/>
        </w:rPr>
        <w:t>TCSL Track (27 credits): Students must select Teaching Chinese as a Second Language as their major field and complete at least 9 credits in this area.</w:t>
      </w:r>
    </w:p>
    <w:p w14:paraId="5D553B7D" w14:textId="77777777" w:rsidR="00BA4EC4" w:rsidRPr="00BA4EC4" w:rsidRDefault="00BA4EC4" w:rsidP="00BA4EC4">
      <w:pPr>
        <w:jc w:val="both"/>
        <w:rPr>
          <w:rFonts w:ascii="Times New Roman" w:hAnsi="Times New Roman"/>
        </w:rPr>
      </w:pPr>
      <w:r w:rsidRPr="00BA4EC4">
        <w:rPr>
          <w:rFonts w:ascii="Times New Roman" w:hAnsi="Times New Roman"/>
        </w:rPr>
        <w:t>Elective Fields for all tracks include:</w:t>
      </w:r>
    </w:p>
    <w:p w14:paraId="29D8152F" w14:textId="77777777" w:rsidR="00BA4EC4" w:rsidRPr="00BA4EC4" w:rsidRDefault="00BA4EC4" w:rsidP="00BA4EC4">
      <w:pPr>
        <w:numPr>
          <w:ilvl w:val="0"/>
          <w:numId w:val="5"/>
        </w:numPr>
        <w:jc w:val="both"/>
        <w:rPr>
          <w:rFonts w:ascii="Times New Roman" w:hAnsi="Times New Roman"/>
        </w:rPr>
      </w:pPr>
      <w:r w:rsidRPr="00BA4EC4">
        <w:rPr>
          <w:rFonts w:ascii="Times New Roman" w:hAnsi="Times New Roman"/>
        </w:rPr>
        <w:t>Phonology and Phonetics</w:t>
      </w:r>
    </w:p>
    <w:p w14:paraId="61B17FB1" w14:textId="77777777" w:rsidR="00BA4EC4" w:rsidRPr="00BA4EC4" w:rsidRDefault="00BA4EC4" w:rsidP="00BA4EC4">
      <w:pPr>
        <w:numPr>
          <w:ilvl w:val="0"/>
          <w:numId w:val="5"/>
        </w:numPr>
        <w:jc w:val="both"/>
        <w:rPr>
          <w:rFonts w:ascii="Times New Roman" w:hAnsi="Times New Roman"/>
        </w:rPr>
      </w:pPr>
      <w:r w:rsidRPr="00BA4EC4">
        <w:rPr>
          <w:rFonts w:ascii="Times New Roman" w:hAnsi="Times New Roman"/>
        </w:rPr>
        <w:t>Syntax and Semantics</w:t>
      </w:r>
    </w:p>
    <w:p w14:paraId="717C9E69" w14:textId="77777777" w:rsidR="00BA4EC4" w:rsidRPr="00BA4EC4" w:rsidRDefault="00BA4EC4" w:rsidP="00BA4EC4">
      <w:pPr>
        <w:numPr>
          <w:ilvl w:val="0"/>
          <w:numId w:val="5"/>
        </w:numPr>
        <w:jc w:val="both"/>
        <w:rPr>
          <w:rFonts w:ascii="Times New Roman" w:hAnsi="Times New Roman"/>
        </w:rPr>
      </w:pPr>
      <w:r w:rsidRPr="00BA4EC4">
        <w:rPr>
          <w:rFonts w:ascii="Times New Roman" w:hAnsi="Times New Roman"/>
        </w:rPr>
        <w:t>Pragmatics and Sociolinguistics</w:t>
      </w:r>
    </w:p>
    <w:p w14:paraId="54D61EAD" w14:textId="77777777" w:rsidR="00BA4EC4" w:rsidRPr="00BA4EC4" w:rsidRDefault="00BA4EC4" w:rsidP="00BA4EC4">
      <w:pPr>
        <w:numPr>
          <w:ilvl w:val="0"/>
          <w:numId w:val="5"/>
        </w:numPr>
        <w:jc w:val="both"/>
        <w:rPr>
          <w:rFonts w:ascii="Times New Roman" w:hAnsi="Times New Roman"/>
        </w:rPr>
      </w:pPr>
      <w:r w:rsidRPr="00BA4EC4">
        <w:rPr>
          <w:rFonts w:ascii="Times New Roman" w:hAnsi="Times New Roman"/>
        </w:rPr>
        <w:t>Language and Cognition</w:t>
      </w:r>
    </w:p>
    <w:p w14:paraId="3563A87E" w14:textId="77777777" w:rsidR="00BA4EC4" w:rsidRPr="00BA4EC4" w:rsidRDefault="00BA4EC4" w:rsidP="00BA4EC4">
      <w:pPr>
        <w:numPr>
          <w:ilvl w:val="0"/>
          <w:numId w:val="5"/>
        </w:numPr>
        <w:jc w:val="both"/>
        <w:rPr>
          <w:rFonts w:ascii="Times New Roman" w:hAnsi="Times New Roman"/>
        </w:rPr>
      </w:pPr>
      <w:r w:rsidRPr="00BA4EC4">
        <w:rPr>
          <w:rFonts w:ascii="Times New Roman" w:hAnsi="Times New Roman"/>
        </w:rPr>
        <w:t>Corpus and Computational Linguistics</w:t>
      </w:r>
    </w:p>
    <w:p w14:paraId="4B43B4DA" w14:textId="77777777" w:rsidR="00BA4EC4" w:rsidRPr="00BA4EC4" w:rsidRDefault="00BA4EC4" w:rsidP="00BA4EC4">
      <w:pPr>
        <w:numPr>
          <w:ilvl w:val="0"/>
          <w:numId w:val="5"/>
        </w:numPr>
        <w:jc w:val="both"/>
        <w:rPr>
          <w:rFonts w:ascii="Times New Roman" w:hAnsi="Times New Roman"/>
        </w:rPr>
      </w:pPr>
      <w:r w:rsidRPr="00BA4EC4">
        <w:rPr>
          <w:rFonts w:ascii="Times New Roman" w:hAnsi="Times New Roman"/>
        </w:rPr>
        <w:t>Teaching Chinese as a Second Language</w:t>
      </w:r>
    </w:p>
    <w:p w14:paraId="7F7DE92E" w14:textId="77777777" w:rsidR="00BA4EC4" w:rsidRPr="00BA4EC4" w:rsidRDefault="00BA4EC4" w:rsidP="00BA4EC4">
      <w:pPr>
        <w:numPr>
          <w:ilvl w:val="0"/>
          <w:numId w:val="5"/>
        </w:numPr>
        <w:jc w:val="both"/>
        <w:rPr>
          <w:rFonts w:ascii="Times New Roman" w:hAnsi="Times New Roman"/>
        </w:rPr>
      </w:pPr>
      <w:r w:rsidRPr="00BA4EC4">
        <w:rPr>
          <w:rFonts w:ascii="Times New Roman" w:hAnsi="Times New Roman"/>
        </w:rPr>
        <w:t>Sign Linguistics</w:t>
      </w:r>
    </w:p>
    <w:p w14:paraId="1C678FAF" w14:textId="77777777" w:rsidR="00BA4EC4" w:rsidRPr="00BA4EC4" w:rsidRDefault="00BA4EC4" w:rsidP="00BA4EC4">
      <w:pPr>
        <w:jc w:val="both"/>
        <w:rPr>
          <w:rFonts w:ascii="Times New Roman" w:hAnsi="Times New Roman"/>
        </w:rPr>
      </w:pPr>
      <w:r w:rsidRPr="00BA4EC4">
        <w:rPr>
          <w:rFonts w:ascii="Times New Roman" w:hAnsi="Times New Roman"/>
        </w:rPr>
        <w:t>Article 4 Minimum credit requirements per semester:</w:t>
      </w:r>
    </w:p>
    <w:p w14:paraId="4BFFFDB9" w14:textId="77777777" w:rsidR="00BA4EC4" w:rsidRPr="00BA4EC4" w:rsidRDefault="00BA4EC4" w:rsidP="00BA4EC4">
      <w:pPr>
        <w:numPr>
          <w:ilvl w:val="0"/>
          <w:numId w:val="6"/>
        </w:numPr>
        <w:jc w:val="both"/>
        <w:rPr>
          <w:rFonts w:ascii="Times New Roman" w:hAnsi="Times New Roman"/>
        </w:rPr>
      </w:pPr>
      <w:r w:rsidRPr="00BA4EC4">
        <w:rPr>
          <w:rFonts w:ascii="Times New Roman" w:hAnsi="Times New Roman"/>
        </w:rPr>
        <w:t>First Year: At least 6 credits per semester.</w:t>
      </w:r>
    </w:p>
    <w:p w14:paraId="36B5712F" w14:textId="77777777" w:rsidR="00BA4EC4" w:rsidRPr="00BA4EC4" w:rsidRDefault="00BA4EC4" w:rsidP="00BA4EC4">
      <w:pPr>
        <w:numPr>
          <w:ilvl w:val="0"/>
          <w:numId w:val="6"/>
        </w:numPr>
        <w:jc w:val="both"/>
        <w:rPr>
          <w:rFonts w:ascii="Times New Roman" w:hAnsi="Times New Roman"/>
        </w:rPr>
      </w:pPr>
      <w:r w:rsidRPr="00BA4EC4">
        <w:rPr>
          <w:rFonts w:ascii="Times New Roman" w:hAnsi="Times New Roman"/>
        </w:rPr>
        <w:t>Second Year: At least 3 credits per semester.</w:t>
      </w:r>
    </w:p>
    <w:p w14:paraId="437D10B2" w14:textId="77777777" w:rsidR="00BA4EC4" w:rsidRDefault="00BA4EC4" w:rsidP="00BA4EC4">
      <w:pPr>
        <w:jc w:val="both"/>
        <w:rPr>
          <w:rFonts w:ascii="Times New Roman" w:hAnsi="Times New Roman"/>
        </w:rPr>
      </w:pPr>
      <w:r w:rsidRPr="00BA4EC4">
        <w:rPr>
          <w:rFonts w:ascii="Times New Roman" w:hAnsi="Times New Roman"/>
        </w:rPr>
        <w:t xml:space="preserve">Article 5 </w:t>
      </w:r>
    </w:p>
    <w:p w14:paraId="19F9D427" w14:textId="289A535E" w:rsidR="00BA4EC4" w:rsidRDefault="00BA4EC4" w:rsidP="00BA4EC4">
      <w:pPr>
        <w:jc w:val="both"/>
        <w:rPr>
          <w:rFonts w:ascii="Times New Roman" w:hAnsi="Times New Roman"/>
        </w:rPr>
      </w:pPr>
      <w:r w:rsidRPr="00BA4EC4">
        <w:rPr>
          <w:rFonts w:ascii="Times New Roman" w:hAnsi="Times New Roman"/>
        </w:rPr>
        <w:t>In accordance with the "CCU Implementation Guidelines for Academic Research Ethics Education," students must complete the Academic Ethics Education course before the end of their first semester. Students must present proof of passing the course to be eligible to apply for the Degree Examination.</w:t>
      </w:r>
    </w:p>
    <w:p w14:paraId="399AE9EB" w14:textId="77777777" w:rsidR="00BA4EC4" w:rsidRPr="00BA4EC4" w:rsidRDefault="00BA4EC4" w:rsidP="00BA4EC4">
      <w:pPr>
        <w:jc w:val="both"/>
        <w:rPr>
          <w:rFonts w:ascii="Times New Roman" w:hAnsi="Times New Roman" w:hint="eastAsia"/>
        </w:rPr>
      </w:pPr>
    </w:p>
    <w:p w14:paraId="204C9A70" w14:textId="77777777" w:rsidR="00BA4EC4" w:rsidRPr="00BA4EC4" w:rsidRDefault="00BA4EC4" w:rsidP="00BA4EC4">
      <w:pPr>
        <w:jc w:val="both"/>
        <w:rPr>
          <w:rFonts w:ascii="Times New Roman" w:hAnsi="Times New Roman"/>
          <w:b/>
          <w:bCs/>
        </w:rPr>
      </w:pPr>
      <w:r w:rsidRPr="00BA4EC4">
        <w:rPr>
          <w:rFonts w:ascii="Times New Roman" w:hAnsi="Times New Roman"/>
          <w:b/>
          <w:bCs/>
        </w:rPr>
        <w:t>Chapter II: Internship Requirements</w:t>
      </w:r>
    </w:p>
    <w:p w14:paraId="0D105A42" w14:textId="77777777" w:rsidR="00BA4EC4" w:rsidRDefault="00BA4EC4" w:rsidP="00BA4EC4">
      <w:pPr>
        <w:jc w:val="both"/>
        <w:rPr>
          <w:rFonts w:ascii="Times New Roman" w:hAnsi="Times New Roman"/>
        </w:rPr>
      </w:pPr>
      <w:r w:rsidRPr="00BA4EC4">
        <w:rPr>
          <w:rFonts w:ascii="Times New Roman" w:hAnsi="Times New Roman"/>
        </w:rPr>
        <w:t xml:space="preserve">Article 6 </w:t>
      </w:r>
    </w:p>
    <w:p w14:paraId="35CD6BFE" w14:textId="070CB1DF" w:rsidR="00BA4EC4" w:rsidRPr="00BA4EC4" w:rsidRDefault="00BA4EC4" w:rsidP="00BA4EC4">
      <w:pPr>
        <w:jc w:val="both"/>
        <w:rPr>
          <w:rFonts w:ascii="Times New Roman" w:hAnsi="Times New Roman"/>
        </w:rPr>
      </w:pPr>
      <w:r w:rsidRPr="00BA4EC4">
        <w:rPr>
          <w:rFonts w:ascii="Times New Roman" w:hAnsi="Times New Roman"/>
        </w:rPr>
        <w:t xml:space="preserve">Prior to applying for the oral defense, students in the TCSL Track must complete at </w:t>
      </w:r>
      <w:r w:rsidRPr="00BA4EC4">
        <w:rPr>
          <w:rFonts w:ascii="Times New Roman" w:hAnsi="Times New Roman"/>
        </w:rPr>
        <w:lastRenderedPageBreak/>
        <w:t>least 72 hours of Chinese language classroom teaching practice. The target students must be non-native speakers. The internship must be conducted at schools of all levels (including university-affiliated language centers) accredited by domestic or international educational authorities, or through one-on-one tutoring sessions that comply with the Institute's "Regulations for Recognizing Internship Hours for One-on-One Chinese Tutoring."</w:t>
      </w:r>
    </w:p>
    <w:p w14:paraId="4714182A" w14:textId="77777777" w:rsidR="00BA4EC4" w:rsidRDefault="00BA4EC4" w:rsidP="00BA4EC4">
      <w:pPr>
        <w:jc w:val="both"/>
        <w:rPr>
          <w:rFonts w:ascii="Times New Roman" w:hAnsi="Times New Roman"/>
        </w:rPr>
      </w:pPr>
      <w:r w:rsidRPr="00BA4EC4">
        <w:rPr>
          <w:rFonts w:ascii="Times New Roman" w:hAnsi="Times New Roman"/>
        </w:rPr>
        <w:t xml:space="preserve">Article 7 </w:t>
      </w:r>
    </w:p>
    <w:p w14:paraId="24B4B6AF" w14:textId="476349D4" w:rsidR="00BA4EC4" w:rsidRPr="00BA4EC4" w:rsidRDefault="00BA4EC4" w:rsidP="00BA4EC4">
      <w:pPr>
        <w:jc w:val="both"/>
        <w:rPr>
          <w:rFonts w:ascii="Times New Roman" w:hAnsi="Times New Roman"/>
        </w:rPr>
      </w:pPr>
      <w:r w:rsidRPr="00BA4EC4">
        <w:rPr>
          <w:rFonts w:ascii="Times New Roman" w:hAnsi="Times New Roman"/>
        </w:rPr>
        <w:t>Specific details regarding internships are governed by the "Internship Regulations for the TCSL Track of the Master’s Program."</w:t>
      </w:r>
    </w:p>
    <w:p w14:paraId="43D10F05" w14:textId="2FF64472" w:rsidR="00BA4EC4" w:rsidRPr="00BA4EC4" w:rsidRDefault="00BA4EC4" w:rsidP="00BA4EC4">
      <w:pPr>
        <w:jc w:val="both"/>
        <w:rPr>
          <w:rFonts w:ascii="Times New Roman" w:hAnsi="Times New Roman"/>
        </w:rPr>
      </w:pPr>
    </w:p>
    <w:p w14:paraId="463A1C8A" w14:textId="77777777" w:rsidR="00BA4EC4" w:rsidRPr="00BA4EC4" w:rsidRDefault="00BA4EC4" w:rsidP="00BA4EC4">
      <w:pPr>
        <w:jc w:val="both"/>
        <w:rPr>
          <w:rFonts w:ascii="Times New Roman" w:hAnsi="Times New Roman"/>
          <w:b/>
          <w:bCs/>
        </w:rPr>
      </w:pPr>
      <w:r w:rsidRPr="00BA4EC4">
        <w:rPr>
          <w:rFonts w:ascii="Times New Roman" w:hAnsi="Times New Roman"/>
          <w:b/>
          <w:bCs/>
        </w:rPr>
        <w:t>Chapter III: Thesis Supervision and Degree Examination Application</w:t>
      </w:r>
    </w:p>
    <w:p w14:paraId="770D3340" w14:textId="77777777" w:rsidR="00BA4EC4" w:rsidRDefault="00BA4EC4" w:rsidP="00BA4EC4">
      <w:pPr>
        <w:jc w:val="both"/>
        <w:rPr>
          <w:rFonts w:ascii="Times New Roman" w:hAnsi="Times New Roman"/>
        </w:rPr>
      </w:pPr>
      <w:r w:rsidRPr="00BA4EC4">
        <w:rPr>
          <w:rFonts w:ascii="Times New Roman" w:hAnsi="Times New Roman"/>
        </w:rPr>
        <w:t xml:space="preserve">Article 8 </w:t>
      </w:r>
    </w:p>
    <w:p w14:paraId="3E65BF49" w14:textId="1B110583" w:rsidR="00BA4EC4" w:rsidRPr="00BA4EC4" w:rsidRDefault="00BA4EC4" w:rsidP="00BA4EC4">
      <w:pPr>
        <w:jc w:val="both"/>
        <w:rPr>
          <w:rFonts w:ascii="Times New Roman" w:hAnsi="Times New Roman"/>
        </w:rPr>
      </w:pPr>
      <w:r w:rsidRPr="00BA4EC4">
        <w:rPr>
          <w:rFonts w:ascii="Times New Roman" w:hAnsi="Times New Roman"/>
        </w:rPr>
        <w:t>For procedures regarding thesis progress, students should refer to the Institute’s "Graduate Study Progress Guidelines."</w:t>
      </w:r>
    </w:p>
    <w:p w14:paraId="60683599" w14:textId="15ACA3B5" w:rsidR="00BA4EC4" w:rsidRPr="00BA4EC4" w:rsidRDefault="00BA4EC4" w:rsidP="00BA4EC4">
      <w:pPr>
        <w:jc w:val="both"/>
        <w:rPr>
          <w:rFonts w:ascii="Times New Roman" w:hAnsi="Times New Roman"/>
        </w:rPr>
      </w:pPr>
    </w:p>
    <w:p w14:paraId="18DD25DF" w14:textId="77777777" w:rsidR="00BA4EC4" w:rsidRPr="00BA4EC4" w:rsidRDefault="00BA4EC4" w:rsidP="00BA4EC4">
      <w:pPr>
        <w:jc w:val="both"/>
        <w:rPr>
          <w:rFonts w:ascii="Times New Roman" w:hAnsi="Times New Roman"/>
          <w:b/>
          <w:bCs/>
        </w:rPr>
      </w:pPr>
      <w:r w:rsidRPr="00BA4EC4">
        <w:rPr>
          <w:rFonts w:ascii="Times New Roman" w:hAnsi="Times New Roman"/>
          <w:b/>
          <w:bCs/>
        </w:rPr>
        <w:t>Chapter IV: Thesis Defense and Grading</w:t>
      </w:r>
    </w:p>
    <w:p w14:paraId="1059CA22" w14:textId="77777777" w:rsidR="00BA4EC4" w:rsidRDefault="00BA4EC4" w:rsidP="00BA4EC4">
      <w:pPr>
        <w:jc w:val="both"/>
        <w:rPr>
          <w:rFonts w:ascii="Times New Roman" w:hAnsi="Times New Roman"/>
        </w:rPr>
      </w:pPr>
      <w:r w:rsidRPr="00BA4EC4">
        <w:rPr>
          <w:rFonts w:ascii="Times New Roman" w:hAnsi="Times New Roman"/>
        </w:rPr>
        <w:t xml:space="preserve">Article 9 </w:t>
      </w:r>
    </w:p>
    <w:p w14:paraId="77029614" w14:textId="50741516" w:rsidR="00BA4EC4" w:rsidRPr="00BA4EC4" w:rsidRDefault="00BA4EC4" w:rsidP="00BA4EC4">
      <w:pPr>
        <w:jc w:val="both"/>
        <w:rPr>
          <w:rFonts w:ascii="Times New Roman" w:hAnsi="Times New Roman"/>
        </w:rPr>
      </w:pPr>
      <w:r w:rsidRPr="00BA4EC4">
        <w:rPr>
          <w:rFonts w:ascii="Times New Roman" w:hAnsi="Times New Roman"/>
        </w:rPr>
        <w:t>The Master’s Thesis Oral Defense Committee shall consist of the thesis advisor and 2 to 3 additional members (including at least one external member from outside the department/university). The advisor shall appoint a Committee Chair (the advisor may not serve as the chair) and schedule the defense.</w:t>
      </w:r>
    </w:p>
    <w:p w14:paraId="6A221E4D" w14:textId="77777777" w:rsidR="00BA4EC4" w:rsidRDefault="00BA4EC4" w:rsidP="00BA4EC4">
      <w:pPr>
        <w:jc w:val="both"/>
        <w:rPr>
          <w:rFonts w:ascii="Times New Roman" w:hAnsi="Times New Roman"/>
        </w:rPr>
      </w:pPr>
      <w:r w:rsidRPr="00BA4EC4">
        <w:rPr>
          <w:rFonts w:ascii="Times New Roman" w:hAnsi="Times New Roman"/>
        </w:rPr>
        <w:t xml:space="preserve">Article 10 </w:t>
      </w:r>
    </w:p>
    <w:p w14:paraId="394474B4" w14:textId="5FAC255C" w:rsidR="00BA4EC4" w:rsidRPr="00BA4EC4" w:rsidRDefault="00BA4EC4" w:rsidP="00BA4EC4">
      <w:pPr>
        <w:jc w:val="both"/>
        <w:rPr>
          <w:rFonts w:ascii="Times New Roman" w:hAnsi="Times New Roman"/>
        </w:rPr>
      </w:pPr>
      <w:r w:rsidRPr="00BA4EC4">
        <w:rPr>
          <w:rFonts w:ascii="Times New Roman" w:hAnsi="Times New Roman"/>
        </w:rPr>
        <w:t>The passing grade for the thesis oral defense is 70, with a maximum score of 100. The final grade is determined by the average score given by the committee members. However, if two or more members cast a failing vote, the thesis shall be deemed "not passed." Students who fail the defense but have not yet exceeded their maximum study period may apply for a re-examination, which is limited to one attempt. Detailed implementation rules for the oral defense are provided separately.</w:t>
      </w:r>
    </w:p>
    <w:p w14:paraId="123DE58D" w14:textId="39F14EAF" w:rsidR="00BA4EC4" w:rsidRPr="00BA4EC4" w:rsidRDefault="00BA4EC4" w:rsidP="00BA4EC4">
      <w:pPr>
        <w:jc w:val="both"/>
        <w:rPr>
          <w:rFonts w:ascii="Times New Roman" w:hAnsi="Times New Roman"/>
        </w:rPr>
      </w:pPr>
    </w:p>
    <w:p w14:paraId="6B9C02A0" w14:textId="77777777" w:rsidR="00BA4EC4" w:rsidRPr="00BA4EC4" w:rsidRDefault="00BA4EC4" w:rsidP="00BA4EC4">
      <w:pPr>
        <w:jc w:val="both"/>
        <w:rPr>
          <w:rFonts w:ascii="Times New Roman" w:hAnsi="Times New Roman"/>
          <w:b/>
          <w:bCs/>
        </w:rPr>
      </w:pPr>
      <w:r w:rsidRPr="00BA4EC4">
        <w:rPr>
          <w:rFonts w:ascii="Times New Roman" w:hAnsi="Times New Roman"/>
          <w:b/>
          <w:bCs/>
        </w:rPr>
        <w:t>Chapter V: Scholarships and Financial Aid</w:t>
      </w:r>
    </w:p>
    <w:p w14:paraId="19D6F415" w14:textId="77777777" w:rsidR="00BA4EC4" w:rsidRDefault="00BA4EC4" w:rsidP="00BA4EC4">
      <w:pPr>
        <w:jc w:val="both"/>
        <w:rPr>
          <w:rFonts w:ascii="Times New Roman" w:hAnsi="Times New Roman"/>
        </w:rPr>
      </w:pPr>
      <w:r w:rsidRPr="00BA4EC4">
        <w:rPr>
          <w:rFonts w:ascii="Times New Roman" w:hAnsi="Times New Roman"/>
        </w:rPr>
        <w:t xml:space="preserve">Article 11 </w:t>
      </w:r>
    </w:p>
    <w:p w14:paraId="5B1D9B00" w14:textId="796459D3" w:rsidR="00BA4EC4" w:rsidRPr="00BA4EC4" w:rsidRDefault="00BA4EC4" w:rsidP="00BA4EC4">
      <w:pPr>
        <w:jc w:val="both"/>
        <w:rPr>
          <w:rFonts w:ascii="Times New Roman" w:hAnsi="Times New Roman"/>
        </w:rPr>
      </w:pPr>
      <w:r w:rsidRPr="00BA4EC4">
        <w:rPr>
          <w:rFonts w:ascii="Times New Roman" w:hAnsi="Times New Roman"/>
        </w:rPr>
        <w:t>Please refer to the "CCU Guidelines for Graduate Student Scholarships and Assistantships." Detailed implementation rules are subject to the Institute’s official announcements.</w:t>
      </w:r>
    </w:p>
    <w:p w14:paraId="19D037FA" w14:textId="665E89FE" w:rsidR="00BA4EC4" w:rsidRPr="00BA4EC4" w:rsidRDefault="00BA4EC4" w:rsidP="00BA4EC4">
      <w:pPr>
        <w:jc w:val="both"/>
        <w:rPr>
          <w:rFonts w:ascii="Times New Roman" w:hAnsi="Times New Roman"/>
        </w:rPr>
      </w:pPr>
    </w:p>
    <w:p w14:paraId="640037A7" w14:textId="77777777" w:rsidR="00BA4EC4" w:rsidRPr="00BA4EC4" w:rsidRDefault="00BA4EC4" w:rsidP="00BA4EC4">
      <w:pPr>
        <w:jc w:val="both"/>
        <w:rPr>
          <w:rFonts w:ascii="Times New Roman" w:hAnsi="Times New Roman"/>
          <w:b/>
          <w:bCs/>
        </w:rPr>
      </w:pPr>
      <w:r w:rsidRPr="00BA4EC4">
        <w:rPr>
          <w:rFonts w:ascii="Times New Roman" w:hAnsi="Times New Roman"/>
          <w:b/>
          <w:bCs/>
        </w:rPr>
        <w:t>Chapter VI: Supplementary Provisions</w:t>
      </w:r>
    </w:p>
    <w:p w14:paraId="6DD5DB44" w14:textId="77777777" w:rsidR="00BA4EC4" w:rsidRDefault="00BA4EC4" w:rsidP="00BA4EC4">
      <w:pPr>
        <w:jc w:val="both"/>
        <w:rPr>
          <w:rFonts w:ascii="Times New Roman" w:hAnsi="Times New Roman"/>
        </w:rPr>
      </w:pPr>
      <w:r w:rsidRPr="00BA4EC4">
        <w:rPr>
          <w:rFonts w:ascii="Times New Roman" w:hAnsi="Times New Roman"/>
        </w:rPr>
        <w:t xml:space="preserve">Article 12 </w:t>
      </w:r>
    </w:p>
    <w:p w14:paraId="7763E698" w14:textId="53E0B03C" w:rsidR="00BA4EC4" w:rsidRPr="00BA4EC4" w:rsidRDefault="00BA4EC4" w:rsidP="00BA4EC4">
      <w:pPr>
        <w:jc w:val="both"/>
        <w:rPr>
          <w:rFonts w:ascii="Times New Roman" w:hAnsi="Times New Roman"/>
        </w:rPr>
      </w:pPr>
      <w:r w:rsidRPr="00BA4EC4">
        <w:rPr>
          <w:rFonts w:ascii="Times New Roman" w:hAnsi="Times New Roman"/>
        </w:rPr>
        <w:t xml:space="preserve">These regulations shall be automatically amended in response to changes in </w:t>
      </w:r>
      <w:proofErr w:type="gramStart"/>
      <w:r w:rsidRPr="00BA4EC4">
        <w:rPr>
          <w:rFonts w:ascii="Times New Roman" w:hAnsi="Times New Roman"/>
        </w:rPr>
        <w:t>University</w:t>
      </w:r>
      <w:proofErr w:type="gramEnd"/>
      <w:r w:rsidRPr="00BA4EC4">
        <w:rPr>
          <w:rFonts w:ascii="Times New Roman" w:hAnsi="Times New Roman"/>
        </w:rPr>
        <w:t xml:space="preserve"> statutes, the Institute’s Master’s program bylaws, or the Ministry of Education's regulations regarding Master’s degree examinations. The Institute may also revise these regulations at any time to meet teaching, research, or academic development needs. All amendments must be approved by the Institute Council.</w:t>
      </w:r>
    </w:p>
    <w:p w14:paraId="64BF0235" w14:textId="77777777" w:rsidR="00BA4EC4" w:rsidRDefault="00BA4EC4" w:rsidP="00BA4EC4">
      <w:pPr>
        <w:jc w:val="both"/>
        <w:rPr>
          <w:rFonts w:ascii="Times New Roman" w:hAnsi="Times New Roman"/>
        </w:rPr>
      </w:pPr>
      <w:r w:rsidRPr="00BA4EC4">
        <w:rPr>
          <w:rFonts w:ascii="Times New Roman" w:hAnsi="Times New Roman"/>
        </w:rPr>
        <w:t xml:space="preserve">Article 13 </w:t>
      </w:r>
    </w:p>
    <w:p w14:paraId="4E9248C2" w14:textId="4049A801" w:rsidR="00BA4EC4" w:rsidRPr="00BA4EC4" w:rsidRDefault="00BA4EC4" w:rsidP="00BA4EC4">
      <w:pPr>
        <w:jc w:val="both"/>
        <w:rPr>
          <w:rFonts w:ascii="Times New Roman" w:hAnsi="Times New Roman"/>
        </w:rPr>
      </w:pPr>
      <w:r w:rsidRPr="00BA4EC4">
        <w:rPr>
          <w:rFonts w:ascii="Times New Roman" w:hAnsi="Times New Roman"/>
        </w:rPr>
        <w:t>These regulations, and any subsequent amendments, shall be implemented upon approval by the Institute Council and submission to the Office of Academic Affairs for record-keeping.</w:t>
      </w:r>
    </w:p>
    <w:p w14:paraId="34DF53CC" w14:textId="77777777" w:rsidR="009600ED" w:rsidRPr="00BA4EC4" w:rsidRDefault="009600ED" w:rsidP="00BA4EC4">
      <w:pPr>
        <w:jc w:val="both"/>
        <w:rPr>
          <w:rFonts w:ascii="Times New Roman" w:hAnsi="Times New Roman"/>
        </w:rPr>
      </w:pPr>
    </w:p>
    <w:sectPr w:rsidR="009600ED" w:rsidRPr="00BA4EC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0F33"/>
    <w:multiLevelType w:val="multilevel"/>
    <w:tmpl w:val="A59009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870A0"/>
    <w:multiLevelType w:val="multilevel"/>
    <w:tmpl w:val="F366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A2427"/>
    <w:multiLevelType w:val="multilevel"/>
    <w:tmpl w:val="3818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ED3A04"/>
    <w:multiLevelType w:val="multilevel"/>
    <w:tmpl w:val="F1B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330617">
    <w:abstractNumId w:val="0"/>
  </w:num>
  <w:num w:numId="2" w16cid:durableId="1373337772">
    <w:abstractNumId w:val="0"/>
    <w:lvlOverride w:ilvl="1">
      <w:startOverride w:val="1"/>
    </w:lvlOverride>
  </w:num>
  <w:num w:numId="3" w16cid:durableId="154886036">
    <w:abstractNumId w:val="0"/>
    <w:lvlOverride w:ilvl="1">
      <w:startOverride w:val="1"/>
    </w:lvlOverride>
  </w:num>
  <w:num w:numId="4" w16cid:durableId="475803962">
    <w:abstractNumId w:val="1"/>
  </w:num>
  <w:num w:numId="5" w16cid:durableId="620697359">
    <w:abstractNumId w:val="2"/>
  </w:num>
  <w:num w:numId="6" w16cid:durableId="205896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C4"/>
    <w:rsid w:val="00091346"/>
    <w:rsid w:val="00845F54"/>
    <w:rsid w:val="009600ED"/>
    <w:rsid w:val="00BA4EC4"/>
    <w:rsid w:val="00F079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B315"/>
  <w15:chartTrackingRefBased/>
  <w15:docId w15:val="{CD723423-3506-43F3-8828-702949FE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EC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4EC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4EC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A4EC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A4E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4EC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A4EC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4EC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A4EC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A4EC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A4EC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A4EC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A4EC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A4EC4"/>
    <w:rPr>
      <w:rFonts w:eastAsiaTheme="majorEastAsia" w:cstheme="majorBidi"/>
      <w:color w:val="0F4761" w:themeColor="accent1" w:themeShade="BF"/>
    </w:rPr>
  </w:style>
  <w:style w:type="character" w:customStyle="1" w:styleId="60">
    <w:name w:val="標題 6 字元"/>
    <w:basedOn w:val="a0"/>
    <w:link w:val="6"/>
    <w:uiPriority w:val="9"/>
    <w:semiHidden/>
    <w:rsid w:val="00BA4EC4"/>
    <w:rPr>
      <w:rFonts w:eastAsiaTheme="majorEastAsia" w:cstheme="majorBidi"/>
      <w:color w:val="595959" w:themeColor="text1" w:themeTint="A6"/>
    </w:rPr>
  </w:style>
  <w:style w:type="character" w:customStyle="1" w:styleId="70">
    <w:name w:val="標題 7 字元"/>
    <w:basedOn w:val="a0"/>
    <w:link w:val="7"/>
    <w:uiPriority w:val="9"/>
    <w:semiHidden/>
    <w:rsid w:val="00BA4EC4"/>
    <w:rPr>
      <w:rFonts w:eastAsiaTheme="majorEastAsia" w:cstheme="majorBidi"/>
      <w:color w:val="595959" w:themeColor="text1" w:themeTint="A6"/>
    </w:rPr>
  </w:style>
  <w:style w:type="character" w:customStyle="1" w:styleId="80">
    <w:name w:val="標題 8 字元"/>
    <w:basedOn w:val="a0"/>
    <w:link w:val="8"/>
    <w:uiPriority w:val="9"/>
    <w:semiHidden/>
    <w:rsid w:val="00BA4EC4"/>
    <w:rPr>
      <w:rFonts w:eastAsiaTheme="majorEastAsia" w:cstheme="majorBidi"/>
      <w:color w:val="272727" w:themeColor="text1" w:themeTint="D8"/>
    </w:rPr>
  </w:style>
  <w:style w:type="character" w:customStyle="1" w:styleId="90">
    <w:name w:val="標題 9 字元"/>
    <w:basedOn w:val="a0"/>
    <w:link w:val="9"/>
    <w:uiPriority w:val="9"/>
    <w:semiHidden/>
    <w:rsid w:val="00BA4EC4"/>
    <w:rPr>
      <w:rFonts w:eastAsiaTheme="majorEastAsia" w:cstheme="majorBidi"/>
      <w:color w:val="272727" w:themeColor="text1" w:themeTint="D8"/>
    </w:rPr>
  </w:style>
  <w:style w:type="paragraph" w:styleId="a3">
    <w:name w:val="Title"/>
    <w:basedOn w:val="a"/>
    <w:next w:val="a"/>
    <w:link w:val="a4"/>
    <w:uiPriority w:val="10"/>
    <w:qFormat/>
    <w:rsid w:val="00BA4E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A4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E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A4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EC4"/>
    <w:pPr>
      <w:spacing w:before="160"/>
      <w:jc w:val="center"/>
    </w:pPr>
    <w:rPr>
      <w:i/>
      <w:iCs/>
      <w:color w:val="404040" w:themeColor="text1" w:themeTint="BF"/>
    </w:rPr>
  </w:style>
  <w:style w:type="character" w:customStyle="1" w:styleId="a8">
    <w:name w:val="引文 字元"/>
    <w:basedOn w:val="a0"/>
    <w:link w:val="a7"/>
    <w:uiPriority w:val="29"/>
    <w:rsid w:val="00BA4EC4"/>
    <w:rPr>
      <w:i/>
      <w:iCs/>
      <w:color w:val="404040" w:themeColor="text1" w:themeTint="BF"/>
    </w:rPr>
  </w:style>
  <w:style w:type="paragraph" w:styleId="a9">
    <w:name w:val="List Paragraph"/>
    <w:basedOn w:val="a"/>
    <w:uiPriority w:val="34"/>
    <w:qFormat/>
    <w:rsid w:val="00BA4EC4"/>
    <w:pPr>
      <w:ind w:left="720"/>
      <w:contextualSpacing/>
    </w:pPr>
  </w:style>
  <w:style w:type="character" w:styleId="aa">
    <w:name w:val="Intense Emphasis"/>
    <w:basedOn w:val="a0"/>
    <w:uiPriority w:val="21"/>
    <w:qFormat/>
    <w:rsid w:val="00BA4EC4"/>
    <w:rPr>
      <w:i/>
      <w:iCs/>
      <w:color w:val="0F4761" w:themeColor="accent1" w:themeShade="BF"/>
    </w:rPr>
  </w:style>
  <w:style w:type="paragraph" w:styleId="ab">
    <w:name w:val="Intense Quote"/>
    <w:basedOn w:val="a"/>
    <w:next w:val="a"/>
    <w:link w:val="ac"/>
    <w:uiPriority w:val="30"/>
    <w:qFormat/>
    <w:rsid w:val="00BA4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A4EC4"/>
    <w:rPr>
      <w:i/>
      <w:iCs/>
      <w:color w:val="0F4761" w:themeColor="accent1" w:themeShade="BF"/>
    </w:rPr>
  </w:style>
  <w:style w:type="character" w:styleId="ad">
    <w:name w:val="Intense Reference"/>
    <w:basedOn w:val="a0"/>
    <w:uiPriority w:val="32"/>
    <w:qFormat/>
    <w:rsid w:val="00BA4E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477454">
      <w:bodyDiv w:val="1"/>
      <w:marLeft w:val="0"/>
      <w:marRight w:val="0"/>
      <w:marTop w:val="0"/>
      <w:marBottom w:val="0"/>
      <w:divBdr>
        <w:top w:val="none" w:sz="0" w:space="0" w:color="auto"/>
        <w:left w:val="none" w:sz="0" w:space="0" w:color="auto"/>
        <w:bottom w:val="none" w:sz="0" w:space="0" w:color="auto"/>
        <w:right w:val="none" w:sz="0" w:space="0" w:color="auto"/>
      </w:divBdr>
      <w:divsChild>
        <w:div w:id="705761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064619">
      <w:bodyDiv w:val="1"/>
      <w:marLeft w:val="0"/>
      <w:marRight w:val="0"/>
      <w:marTop w:val="0"/>
      <w:marBottom w:val="0"/>
      <w:divBdr>
        <w:top w:val="none" w:sz="0" w:space="0" w:color="auto"/>
        <w:left w:val="none" w:sz="0" w:space="0" w:color="auto"/>
        <w:bottom w:val="none" w:sz="0" w:space="0" w:color="auto"/>
        <w:right w:val="none" w:sz="0" w:space="0" w:color="auto"/>
      </w:divBdr>
      <w:divsChild>
        <w:div w:id="159902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2026-03-19T07:34:00Z</dcterms:created>
  <dcterms:modified xsi:type="dcterms:W3CDTF">2026-03-19T07:43:00Z</dcterms:modified>
</cp:coreProperties>
</file>